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FB2" w:rsidRPr="00C148A5" w:rsidRDefault="00110FB2" w:rsidP="00C148A5">
      <w:pPr>
        <w:shd w:val="clear" w:color="auto" w:fill="FFFFFF"/>
        <w:spacing w:after="0" w:line="240" w:lineRule="auto"/>
        <w:jc w:val="center"/>
        <w:rPr>
          <w:rFonts w:eastAsia="Times New Roman" w:cstheme="minorHAnsi"/>
          <w:color w:val="000000"/>
          <w:sz w:val="28"/>
          <w:szCs w:val="28"/>
        </w:rPr>
      </w:pPr>
      <w:r w:rsidRPr="00C148A5">
        <w:rPr>
          <w:rFonts w:eastAsia="Times New Roman" w:cstheme="minorHAnsi"/>
          <w:b/>
          <w:bCs/>
          <w:color w:val="000000"/>
          <w:sz w:val="28"/>
          <w:szCs w:val="28"/>
          <w:u w:val="single"/>
        </w:rPr>
        <w:t>Illinois Small Business Emergency Loan Fund</w:t>
      </w:r>
    </w:p>
    <w:p w:rsidR="00C148A5" w:rsidRDefault="00C148A5" w:rsidP="00C148A5">
      <w:pPr>
        <w:spacing w:after="0" w:line="240" w:lineRule="auto"/>
      </w:pPr>
    </w:p>
    <w:p w:rsidR="00DB16CF" w:rsidRDefault="00DB16CF" w:rsidP="00C148A5">
      <w:pPr>
        <w:spacing w:after="0" w:line="240" w:lineRule="auto"/>
      </w:pPr>
      <w:r w:rsidRPr="00C148A5">
        <w:t>DCEO and the Illinois Department of Financial and Professional Regulation (IDFPR) are establishing the Illinois Small Business Emergency Loan Fund to offer small businesses low interest loans of up to $50,000.</w:t>
      </w:r>
    </w:p>
    <w:p w:rsidR="00C148A5" w:rsidRPr="00C148A5" w:rsidRDefault="00C148A5" w:rsidP="00C148A5">
      <w:pPr>
        <w:spacing w:after="0" w:line="240" w:lineRule="auto"/>
      </w:pPr>
    </w:p>
    <w:p w:rsidR="00F959D8" w:rsidRDefault="00DB16CF" w:rsidP="00C148A5">
      <w:pPr>
        <w:spacing w:after="0" w:line="240" w:lineRule="auto"/>
      </w:pPr>
      <w:r w:rsidRPr="00C148A5">
        <w:t>Businesses located outside of the City of Chicago with fewer than 50 workers and less than $3 million in revenue in 2019 will be eligible to apply.  Successful applicants will owe nothing for six months and will then begin making fixed payments at a below market interest rate for the remainder of a five-year loan term.</w:t>
      </w:r>
    </w:p>
    <w:p w:rsidR="00C148A5" w:rsidRPr="00C148A5" w:rsidRDefault="00C148A5" w:rsidP="00C148A5">
      <w:pPr>
        <w:spacing w:after="0" w:line="240" w:lineRule="auto"/>
      </w:pPr>
    </w:p>
    <w:p w:rsidR="00110FB2" w:rsidRDefault="00110FB2" w:rsidP="00C148A5">
      <w:pPr>
        <w:shd w:val="clear" w:color="auto" w:fill="FFFFFF"/>
        <w:spacing w:after="0" w:line="240" w:lineRule="auto"/>
        <w:rPr>
          <w:rFonts w:eastAsia="Times New Roman" w:cstheme="minorHAnsi"/>
          <w:b/>
          <w:bCs/>
          <w:color w:val="000000"/>
        </w:rPr>
      </w:pPr>
      <w:r w:rsidRPr="00C148A5">
        <w:rPr>
          <w:rFonts w:eastAsia="Times New Roman" w:cstheme="minorHAnsi"/>
          <w:b/>
          <w:bCs/>
          <w:color w:val="000000"/>
        </w:rPr>
        <w:t xml:space="preserve">Starting this Friday, March </w:t>
      </w:r>
      <w:proofErr w:type="gramStart"/>
      <w:r w:rsidRPr="00C148A5">
        <w:rPr>
          <w:rFonts w:eastAsia="Times New Roman" w:cstheme="minorHAnsi"/>
          <w:b/>
          <w:bCs/>
          <w:color w:val="000000"/>
        </w:rPr>
        <w:t>27th</w:t>
      </w:r>
      <w:proofErr w:type="gramEnd"/>
      <w:r w:rsidRPr="00C148A5">
        <w:rPr>
          <w:rFonts w:eastAsia="Times New Roman" w:cstheme="minorHAnsi"/>
          <w:b/>
          <w:bCs/>
          <w:color w:val="000000"/>
        </w:rPr>
        <w:t xml:space="preserve">, interested businesses will be able to express interest at a form that will be posted </w:t>
      </w:r>
      <w:hyperlink r:id="rId5" w:history="1">
        <w:r w:rsidRPr="00C148A5">
          <w:rPr>
            <w:rStyle w:val="Hyperlink"/>
            <w:rFonts w:eastAsia="Times New Roman" w:cstheme="minorHAnsi"/>
            <w:b/>
            <w:bCs/>
          </w:rPr>
          <w:t>here.</w:t>
        </w:r>
      </w:hyperlink>
      <w:r w:rsidRPr="00C148A5">
        <w:rPr>
          <w:rFonts w:eastAsia="Times New Roman" w:cstheme="minorHAnsi"/>
          <w:b/>
          <w:bCs/>
          <w:color w:val="000000"/>
        </w:rPr>
        <w:t xml:space="preserve">  Below are further details on the program:</w:t>
      </w:r>
    </w:p>
    <w:p w:rsidR="00C148A5" w:rsidRPr="00C148A5" w:rsidRDefault="00C148A5" w:rsidP="00C148A5">
      <w:pPr>
        <w:shd w:val="clear" w:color="auto" w:fill="FFFFFF"/>
        <w:spacing w:after="0" w:line="240" w:lineRule="auto"/>
        <w:rPr>
          <w:rFonts w:eastAsia="Times New Roman" w:cstheme="minorHAnsi"/>
          <w:color w:val="000000"/>
        </w:rPr>
      </w:pPr>
    </w:p>
    <w:p w:rsidR="00110FB2" w:rsidRPr="00C148A5" w:rsidRDefault="00110FB2" w:rsidP="00C148A5">
      <w:pPr>
        <w:shd w:val="clear" w:color="auto" w:fill="FFFFFF"/>
        <w:spacing w:after="0" w:line="240" w:lineRule="auto"/>
        <w:rPr>
          <w:rFonts w:eastAsia="Times New Roman" w:cstheme="minorHAnsi"/>
          <w:b/>
          <w:color w:val="000000"/>
        </w:rPr>
      </w:pPr>
      <w:r w:rsidRPr="00C148A5">
        <w:rPr>
          <w:rFonts w:eastAsia="Times New Roman" w:cstheme="minorHAnsi"/>
          <w:b/>
          <w:iCs/>
          <w:color w:val="000000"/>
        </w:rPr>
        <w:t>Who is eligible?</w:t>
      </w:r>
    </w:p>
    <w:p w:rsidR="00110FB2" w:rsidRDefault="00110FB2" w:rsidP="00C148A5">
      <w:pPr>
        <w:shd w:val="clear" w:color="auto" w:fill="FFFFFF"/>
        <w:spacing w:after="0" w:line="240" w:lineRule="auto"/>
        <w:rPr>
          <w:rFonts w:eastAsia="Times New Roman" w:cstheme="minorHAnsi"/>
          <w:color w:val="000000"/>
        </w:rPr>
      </w:pPr>
      <w:r w:rsidRPr="00C148A5">
        <w:rPr>
          <w:rFonts w:eastAsia="Times New Roman" w:cstheme="minorHAnsi"/>
          <w:color w:val="000000"/>
        </w:rPr>
        <w:t>Small businesses located outside of the City of Chicago with fewer than 50 workers and less than $3 million in revenue in 2019 can apply.  Small businesses within the City of Chicago can apply to a similar loan program </w:t>
      </w:r>
      <w:hyperlink r:id="rId6" w:history="1">
        <w:r w:rsidRPr="00C148A5">
          <w:rPr>
            <w:rStyle w:val="Hyperlink"/>
            <w:rFonts w:eastAsia="Times New Roman" w:cstheme="minorHAnsi"/>
            <w:color w:val="003366"/>
          </w:rPr>
          <w:t>here</w:t>
        </w:r>
      </w:hyperlink>
      <w:r w:rsidRPr="00C148A5">
        <w:rPr>
          <w:rFonts w:eastAsia="Times New Roman" w:cstheme="minorHAnsi"/>
          <w:color w:val="000000"/>
        </w:rPr>
        <w:t>.</w:t>
      </w:r>
    </w:p>
    <w:p w:rsidR="00C148A5" w:rsidRPr="00C148A5" w:rsidRDefault="00C148A5" w:rsidP="00C148A5">
      <w:pPr>
        <w:shd w:val="clear" w:color="auto" w:fill="FFFFFF"/>
        <w:spacing w:after="0" w:line="240" w:lineRule="auto"/>
        <w:rPr>
          <w:rFonts w:eastAsia="Times New Roman" w:cstheme="minorHAnsi"/>
          <w:color w:val="000000"/>
        </w:rPr>
      </w:pPr>
    </w:p>
    <w:p w:rsidR="00110FB2" w:rsidRPr="00C148A5" w:rsidRDefault="00110FB2" w:rsidP="00C148A5">
      <w:pPr>
        <w:shd w:val="clear" w:color="auto" w:fill="FFFFFF"/>
        <w:spacing w:after="0" w:line="240" w:lineRule="auto"/>
        <w:rPr>
          <w:rFonts w:eastAsia="Times New Roman" w:cstheme="minorHAnsi"/>
          <w:b/>
          <w:color w:val="000000"/>
        </w:rPr>
      </w:pPr>
      <w:r w:rsidRPr="00C148A5">
        <w:rPr>
          <w:rFonts w:eastAsia="Times New Roman" w:cstheme="minorHAnsi"/>
          <w:b/>
          <w:iCs/>
          <w:color w:val="000000"/>
        </w:rPr>
        <w:t xml:space="preserve">What </w:t>
      </w:r>
      <w:proofErr w:type="gramStart"/>
      <w:r w:rsidRPr="00C148A5">
        <w:rPr>
          <w:rFonts w:eastAsia="Times New Roman" w:cstheme="minorHAnsi"/>
          <w:b/>
          <w:iCs/>
          <w:color w:val="000000"/>
        </w:rPr>
        <w:t>can loan funds be used</w:t>
      </w:r>
      <w:proofErr w:type="gramEnd"/>
      <w:r w:rsidRPr="00C148A5">
        <w:rPr>
          <w:rFonts w:eastAsia="Times New Roman" w:cstheme="minorHAnsi"/>
          <w:b/>
          <w:iCs/>
          <w:color w:val="000000"/>
        </w:rPr>
        <w:t xml:space="preserve"> for?</w:t>
      </w:r>
    </w:p>
    <w:p w:rsidR="00110FB2" w:rsidRDefault="00110FB2" w:rsidP="00C148A5">
      <w:pPr>
        <w:shd w:val="clear" w:color="auto" w:fill="FFFFFF"/>
        <w:spacing w:after="0" w:line="240" w:lineRule="auto"/>
        <w:rPr>
          <w:rFonts w:eastAsia="Times New Roman" w:cstheme="minorHAnsi"/>
          <w:color w:val="000000"/>
        </w:rPr>
      </w:pPr>
      <w:r w:rsidRPr="00C148A5">
        <w:rPr>
          <w:rFonts w:eastAsia="Times New Roman" w:cstheme="minorHAnsi"/>
          <w:color w:val="000000"/>
        </w:rPr>
        <w:t xml:space="preserve">Loans </w:t>
      </w:r>
      <w:proofErr w:type="gramStart"/>
      <w:r w:rsidRPr="00C148A5">
        <w:rPr>
          <w:rFonts w:eastAsia="Times New Roman" w:cstheme="minorHAnsi"/>
          <w:color w:val="000000"/>
        </w:rPr>
        <w:t>can be used</w:t>
      </w:r>
      <w:proofErr w:type="gramEnd"/>
      <w:r w:rsidRPr="00C148A5">
        <w:rPr>
          <w:rFonts w:eastAsia="Times New Roman" w:cstheme="minorHAnsi"/>
          <w:color w:val="000000"/>
        </w:rPr>
        <w:t xml:space="preserve"> to support working capital.</w:t>
      </w:r>
    </w:p>
    <w:p w:rsidR="00C148A5" w:rsidRPr="00C148A5" w:rsidRDefault="00C148A5" w:rsidP="00C148A5">
      <w:pPr>
        <w:shd w:val="clear" w:color="auto" w:fill="FFFFFF"/>
        <w:spacing w:after="0" w:line="240" w:lineRule="auto"/>
        <w:rPr>
          <w:rFonts w:eastAsia="Times New Roman" w:cstheme="minorHAnsi"/>
          <w:color w:val="000000"/>
        </w:rPr>
      </w:pPr>
    </w:p>
    <w:p w:rsidR="00110FB2" w:rsidRPr="00C148A5" w:rsidRDefault="00110FB2" w:rsidP="00C148A5">
      <w:pPr>
        <w:shd w:val="clear" w:color="auto" w:fill="FFFFFF"/>
        <w:spacing w:after="0" w:line="240" w:lineRule="auto"/>
        <w:rPr>
          <w:rFonts w:eastAsia="Times New Roman" w:cstheme="minorHAnsi"/>
          <w:b/>
          <w:color w:val="000000"/>
        </w:rPr>
      </w:pPr>
      <w:r w:rsidRPr="00C148A5">
        <w:rPr>
          <w:rFonts w:eastAsia="Times New Roman" w:cstheme="minorHAnsi"/>
          <w:b/>
          <w:iCs/>
          <w:color w:val="000000"/>
        </w:rPr>
        <w:t>How do businesses apply?</w:t>
      </w:r>
    </w:p>
    <w:p w:rsidR="00110FB2" w:rsidRDefault="00110FB2" w:rsidP="00C148A5">
      <w:pPr>
        <w:shd w:val="clear" w:color="auto" w:fill="FFFFFF"/>
        <w:spacing w:after="0" w:line="240" w:lineRule="auto"/>
        <w:rPr>
          <w:rFonts w:eastAsia="Times New Roman" w:cstheme="minorHAnsi"/>
          <w:color w:val="000000"/>
        </w:rPr>
      </w:pPr>
      <w:r w:rsidRPr="00C148A5">
        <w:rPr>
          <w:rFonts w:eastAsia="Times New Roman" w:cstheme="minorHAnsi"/>
          <w:color w:val="000000"/>
        </w:rPr>
        <w:t xml:space="preserve">Businesses will be able to complete an interest form on </w:t>
      </w:r>
      <w:hyperlink r:id="rId7" w:history="1">
        <w:r w:rsidRPr="00C148A5">
          <w:rPr>
            <w:rStyle w:val="Hyperlink"/>
            <w:rFonts w:eastAsia="Times New Roman" w:cstheme="minorHAnsi"/>
          </w:rPr>
          <w:t>this web page</w:t>
        </w:r>
      </w:hyperlink>
      <w:r w:rsidRPr="00C148A5">
        <w:rPr>
          <w:rFonts w:eastAsia="Times New Roman" w:cstheme="minorHAnsi"/>
          <w:color w:val="000000"/>
        </w:rPr>
        <w:t xml:space="preserve"> on Friday, March 27, 2020.</w:t>
      </w:r>
    </w:p>
    <w:p w:rsidR="00C148A5" w:rsidRPr="00C148A5" w:rsidRDefault="00C148A5" w:rsidP="00C148A5">
      <w:pPr>
        <w:shd w:val="clear" w:color="auto" w:fill="FFFFFF"/>
        <w:spacing w:after="0" w:line="240" w:lineRule="auto"/>
        <w:rPr>
          <w:rFonts w:eastAsia="Times New Roman" w:cstheme="minorHAnsi"/>
          <w:color w:val="000000"/>
        </w:rPr>
      </w:pPr>
    </w:p>
    <w:p w:rsidR="00110FB2" w:rsidRPr="00C148A5" w:rsidRDefault="00110FB2" w:rsidP="00C148A5">
      <w:pPr>
        <w:shd w:val="clear" w:color="auto" w:fill="FFFFFF"/>
        <w:spacing w:after="0" w:line="240" w:lineRule="auto"/>
        <w:rPr>
          <w:rFonts w:eastAsia="Times New Roman" w:cstheme="minorHAnsi"/>
          <w:b/>
          <w:color w:val="000000"/>
        </w:rPr>
      </w:pPr>
      <w:r w:rsidRPr="00C148A5">
        <w:rPr>
          <w:rFonts w:eastAsia="Times New Roman" w:cstheme="minorHAnsi"/>
          <w:b/>
          <w:iCs/>
          <w:color w:val="000000"/>
        </w:rPr>
        <w:t>How much money is available?</w:t>
      </w:r>
    </w:p>
    <w:p w:rsidR="00110FB2" w:rsidRDefault="00110FB2" w:rsidP="00C148A5">
      <w:pPr>
        <w:shd w:val="clear" w:color="auto" w:fill="FFFFFF"/>
        <w:spacing w:after="0" w:line="240" w:lineRule="auto"/>
        <w:rPr>
          <w:rFonts w:eastAsia="Times New Roman" w:cstheme="minorHAnsi"/>
          <w:color w:val="000000"/>
        </w:rPr>
      </w:pPr>
      <w:r w:rsidRPr="00C148A5">
        <w:rPr>
          <w:rFonts w:eastAsia="Times New Roman" w:cstheme="minorHAnsi"/>
          <w:color w:val="000000"/>
        </w:rPr>
        <w:t xml:space="preserve">Businesses can receive up a low interest loan of up to $50,000 with a </w:t>
      </w:r>
      <w:proofErr w:type="gramStart"/>
      <w:r w:rsidRPr="00C148A5">
        <w:rPr>
          <w:rFonts w:eastAsia="Times New Roman" w:cstheme="minorHAnsi"/>
          <w:color w:val="000000"/>
        </w:rPr>
        <w:t>5 year</w:t>
      </w:r>
      <w:proofErr w:type="gramEnd"/>
      <w:r w:rsidRPr="00C148A5">
        <w:rPr>
          <w:rFonts w:eastAsia="Times New Roman" w:cstheme="minorHAnsi"/>
          <w:color w:val="000000"/>
        </w:rPr>
        <w:t xml:space="preserve"> repayment period with no payments due for the first six months.</w:t>
      </w:r>
    </w:p>
    <w:p w:rsidR="00C148A5" w:rsidRPr="00C148A5" w:rsidRDefault="00C148A5" w:rsidP="00C148A5">
      <w:pPr>
        <w:shd w:val="clear" w:color="auto" w:fill="FFFFFF"/>
        <w:spacing w:after="0" w:line="240" w:lineRule="auto"/>
        <w:rPr>
          <w:rFonts w:eastAsia="Times New Roman" w:cstheme="minorHAnsi"/>
          <w:color w:val="000000"/>
        </w:rPr>
      </w:pPr>
    </w:p>
    <w:p w:rsidR="00110FB2" w:rsidRPr="00C148A5" w:rsidRDefault="00110FB2" w:rsidP="00C148A5">
      <w:pPr>
        <w:shd w:val="clear" w:color="auto" w:fill="FFFFFF"/>
        <w:spacing w:after="0" w:line="240" w:lineRule="auto"/>
        <w:rPr>
          <w:rFonts w:eastAsia="Times New Roman" w:cstheme="minorHAnsi"/>
          <w:b/>
          <w:color w:val="000000"/>
        </w:rPr>
      </w:pPr>
      <w:r w:rsidRPr="00C148A5">
        <w:rPr>
          <w:rFonts w:eastAsia="Times New Roman" w:cstheme="minorHAnsi"/>
          <w:b/>
          <w:iCs/>
          <w:color w:val="000000"/>
        </w:rPr>
        <w:t>How soon will businesses receive funds?</w:t>
      </w:r>
    </w:p>
    <w:p w:rsidR="00110FB2" w:rsidRPr="00C148A5" w:rsidRDefault="00110FB2" w:rsidP="00C148A5">
      <w:pPr>
        <w:shd w:val="clear" w:color="auto" w:fill="FFFFFF"/>
        <w:spacing w:after="0" w:line="240" w:lineRule="auto"/>
        <w:rPr>
          <w:rFonts w:eastAsia="Times New Roman" w:cstheme="minorHAnsi"/>
          <w:color w:val="000000"/>
        </w:rPr>
      </w:pPr>
      <w:r w:rsidRPr="00C148A5">
        <w:rPr>
          <w:rFonts w:eastAsia="Times New Roman" w:cstheme="minorHAnsi"/>
          <w:color w:val="000000"/>
        </w:rPr>
        <w:t xml:space="preserve">Eligible businesses </w:t>
      </w:r>
      <w:proofErr w:type="gramStart"/>
      <w:r w:rsidRPr="00C148A5">
        <w:rPr>
          <w:rFonts w:eastAsia="Times New Roman" w:cstheme="minorHAnsi"/>
          <w:color w:val="000000"/>
        </w:rPr>
        <w:t>will be invited</w:t>
      </w:r>
      <w:proofErr w:type="gramEnd"/>
      <w:r w:rsidRPr="00C148A5">
        <w:rPr>
          <w:rFonts w:eastAsia="Times New Roman" w:cstheme="minorHAnsi"/>
          <w:color w:val="000000"/>
        </w:rPr>
        <w:t xml:space="preserve"> to submit a full application beginning on April 1. Once submitted, we will strive to make a loan decision within 10 days, and make funds available within two days of receiving bank information from a business.</w:t>
      </w:r>
    </w:p>
    <w:p w:rsidR="00110FB2" w:rsidRDefault="00110FB2" w:rsidP="00DB16CF"/>
    <w:p w:rsidR="008921CE" w:rsidRPr="0018737B" w:rsidRDefault="008921CE" w:rsidP="0018737B">
      <w:pPr>
        <w:spacing w:after="0" w:line="240" w:lineRule="auto"/>
        <w:jc w:val="center"/>
        <w:rPr>
          <w:rFonts w:eastAsia="Times New Roman" w:cstheme="minorHAnsi"/>
          <w:b/>
          <w:color w:val="222222"/>
          <w:sz w:val="28"/>
          <w:szCs w:val="28"/>
          <w:u w:val="single"/>
        </w:rPr>
      </w:pPr>
      <w:r w:rsidRPr="0018737B">
        <w:rPr>
          <w:rFonts w:cstheme="minorHAnsi"/>
          <w:b/>
          <w:sz w:val="28"/>
          <w:szCs w:val="28"/>
          <w:u w:val="single"/>
        </w:rPr>
        <w:t>Hospitality Emergency Grant Program</w:t>
      </w:r>
    </w:p>
    <w:p w:rsidR="0018737B" w:rsidRDefault="0018737B" w:rsidP="0018737B">
      <w:pPr>
        <w:spacing w:after="0" w:line="240" w:lineRule="auto"/>
        <w:rPr>
          <w:rFonts w:eastAsia="Times New Roman" w:cstheme="minorHAnsi"/>
          <w:color w:val="222222"/>
        </w:rPr>
      </w:pPr>
    </w:p>
    <w:p w:rsidR="008921CE" w:rsidRPr="008921CE" w:rsidRDefault="008921CE" w:rsidP="0018737B">
      <w:pPr>
        <w:spacing w:after="0" w:line="240" w:lineRule="auto"/>
        <w:rPr>
          <w:rFonts w:eastAsia="Times New Roman" w:cstheme="minorHAnsi"/>
          <w:color w:val="222222"/>
        </w:rPr>
      </w:pPr>
      <w:r w:rsidRPr="008921CE">
        <w:rPr>
          <w:rFonts w:eastAsia="Times New Roman" w:cstheme="minorHAnsi"/>
          <w:color w:val="222222"/>
        </w:rPr>
        <w:t>To help hospitality businesses make ends meet in the midst of the COVID-19 pandemic, DCEO is launching the Hospitality Emergency Grant Program with $14 million drawn from funds originally budgeted for job training, tourism promotion, and other purposes.  Grant funds are available to support working capital like payroll and rent, as well as job training, retraining, and technology to support shifts in operations, like increased pick-up and delivery. Bars and restaurants that generated between $500K and $1M in revenue in 2019 are eligible for up to $25,000, and bars and restaurants that generated less than $500K in revenue in 2019 are eligible for up to $10,000.  Hotels that generated less than $8M in revenue in 2019 are eligible for up to $50,000.</w:t>
      </w:r>
    </w:p>
    <w:p w:rsidR="002B726C" w:rsidRDefault="002B726C" w:rsidP="0018737B">
      <w:pPr>
        <w:spacing w:after="0" w:line="240" w:lineRule="auto"/>
        <w:rPr>
          <w:rFonts w:eastAsia="Times New Roman" w:cstheme="minorHAnsi"/>
          <w:b/>
          <w:iCs/>
          <w:color w:val="222222"/>
        </w:rPr>
      </w:pPr>
    </w:p>
    <w:p w:rsidR="002B726C" w:rsidRDefault="008921CE" w:rsidP="0018737B">
      <w:pPr>
        <w:spacing w:after="0" w:line="240" w:lineRule="auto"/>
        <w:rPr>
          <w:rFonts w:eastAsia="Times New Roman" w:cstheme="minorHAnsi"/>
          <w:b/>
          <w:color w:val="222222"/>
        </w:rPr>
      </w:pPr>
      <w:r w:rsidRPr="002B726C">
        <w:rPr>
          <w:rFonts w:eastAsia="Times New Roman" w:cstheme="minorHAnsi"/>
          <w:b/>
          <w:iCs/>
          <w:color w:val="222222"/>
        </w:rPr>
        <w:t>Who is eligible?</w:t>
      </w:r>
    </w:p>
    <w:p w:rsidR="008921CE" w:rsidRPr="008921CE" w:rsidRDefault="008921CE" w:rsidP="0018737B">
      <w:pPr>
        <w:spacing w:after="0" w:line="240" w:lineRule="auto"/>
        <w:rPr>
          <w:rFonts w:eastAsia="Times New Roman" w:cstheme="minorHAnsi"/>
          <w:b/>
          <w:color w:val="222222"/>
        </w:rPr>
      </w:pPr>
      <w:r w:rsidRPr="008921CE">
        <w:rPr>
          <w:rFonts w:eastAsia="Times New Roman" w:cstheme="minorHAnsi"/>
          <w:color w:val="222222"/>
        </w:rPr>
        <w:lastRenderedPageBreak/>
        <w:t xml:space="preserve">Bars and restaurants with a valid license to serve </w:t>
      </w:r>
      <w:proofErr w:type="gramStart"/>
      <w:r w:rsidRPr="008921CE">
        <w:rPr>
          <w:rFonts w:eastAsia="Times New Roman" w:cstheme="minorHAnsi"/>
          <w:color w:val="222222"/>
        </w:rPr>
        <w:t>food or liquor and who generated revenues of less than $1 million in 2019</w:t>
      </w:r>
      <w:proofErr w:type="gramEnd"/>
      <w:r w:rsidRPr="008921CE">
        <w:rPr>
          <w:rFonts w:eastAsia="Times New Roman" w:cstheme="minorHAnsi"/>
          <w:color w:val="222222"/>
        </w:rPr>
        <w:t>. Hotels with a valid license (hotels, motels other lodging establishments) and who generated revenues of less than $8 million in 2019.</w:t>
      </w:r>
    </w:p>
    <w:p w:rsidR="002B726C" w:rsidRDefault="002B726C" w:rsidP="0018737B">
      <w:pPr>
        <w:spacing w:after="0" w:line="240" w:lineRule="auto"/>
        <w:rPr>
          <w:rFonts w:eastAsia="Times New Roman" w:cstheme="minorHAnsi"/>
          <w:i/>
          <w:iCs/>
          <w:color w:val="222222"/>
        </w:rPr>
      </w:pPr>
    </w:p>
    <w:p w:rsidR="008921CE" w:rsidRPr="008921CE" w:rsidRDefault="008921CE" w:rsidP="0018737B">
      <w:pPr>
        <w:spacing w:after="0" w:line="240" w:lineRule="auto"/>
        <w:rPr>
          <w:rFonts w:eastAsia="Times New Roman" w:cstheme="minorHAnsi"/>
          <w:b/>
          <w:color w:val="222222"/>
        </w:rPr>
      </w:pPr>
      <w:r w:rsidRPr="002B726C">
        <w:rPr>
          <w:rFonts w:eastAsia="Times New Roman" w:cstheme="minorHAnsi"/>
          <w:b/>
          <w:iCs/>
          <w:color w:val="222222"/>
        </w:rPr>
        <w:t xml:space="preserve">What </w:t>
      </w:r>
      <w:proofErr w:type="gramStart"/>
      <w:r w:rsidRPr="002B726C">
        <w:rPr>
          <w:rFonts w:eastAsia="Times New Roman" w:cstheme="minorHAnsi"/>
          <w:b/>
          <w:iCs/>
          <w:color w:val="222222"/>
        </w:rPr>
        <w:t>can grant funds be used</w:t>
      </w:r>
      <w:proofErr w:type="gramEnd"/>
      <w:r w:rsidRPr="002B726C">
        <w:rPr>
          <w:rFonts w:eastAsia="Times New Roman" w:cstheme="minorHAnsi"/>
          <w:b/>
          <w:iCs/>
          <w:color w:val="222222"/>
        </w:rPr>
        <w:t xml:space="preserve"> for?</w:t>
      </w:r>
    </w:p>
    <w:p w:rsidR="008921CE" w:rsidRPr="008921CE" w:rsidRDefault="008921CE" w:rsidP="0018737B">
      <w:pPr>
        <w:spacing w:after="0" w:line="240" w:lineRule="auto"/>
        <w:rPr>
          <w:rFonts w:eastAsia="Times New Roman" w:cstheme="minorHAnsi"/>
          <w:color w:val="222222"/>
        </w:rPr>
      </w:pPr>
      <w:r w:rsidRPr="008921CE">
        <w:rPr>
          <w:rFonts w:eastAsia="Times New Roman" w:cstheme="minorHAnsi"/>
          <w:color w:val="222222"/>
        </w:rPr>
        <w:t>For bars and restaurants, based on the businesses needs identified in the grant application, funds can be used to support working capital (rent, payroll, and other accounts payable), job training (such as new practices related to take out, delivery and sanitation) and technology enabling new operations as well as other costs</w:t>
      </w:r>
      <w:r w:rsidR="002B726C">
        <w:rPr>
          <w:rFonts w:eastAsia="Times New Roman" w:cstheme="minorHAnsi"/>
          <w:color w:val="222222"/>
        </w:rPr>
        <w:t xml:space="preserve"> to implement that technology. </w:t>
      </w:r>
      <w:r w:rsidRPr="008921CE">
        <w:rPr>
          <w:rFonts w:eastAsia="Times New Roman" w:cstheme="minorHAnsi"/>
          <w:color w:val="222222"/>
        </w:rPr>
        <w:t xml:space="preserve">For hotels, funds </w:t>
      </w:r>
      <w:proofErr w:type="gramStart"/>
      <w:r w:rsidRPr="008921CE">
        <w:rPr>
          <w:rFonts w:eastAsia="Times New Roman" w:cstheme="minorHAnsi"/>
          <w:color w:val="222222"/>
        </w:rPr>
        <w:t>can be used</w:t>
      </w:r>
      <w:proofErr w:type="gramEnd"/>
      <w:r w:rsidRPr="008921CE">
        <w:rPr>
          <w:rFonts w:eastAsia="Times New Roman" w:cstheme="minorHAnsi"/>
          <w:color w:val="222222"/>
        </w:rPr>
        <w:t xml:space="preserve"> as working capital to support the retention of employees.</w:t>
      </w:r>
    </w:p>
    <w:p w:rsidR="002B726C" w:rsidRDefault="002B726C" w:rsidP="0018737B">
      <w:pPr>
        <w:spacing w:after="0" w:line="240" w:lineRule="auto"/>
        <w:rPr>
          <w:rFonts w:eastAsia="Times New Roman" w:cstheme="minorHAnsi"/>
          <w:i/>
          <w:iCs/>
          <w:color w:val="222222"/>
        </w:rPr>
      </w:pPr>
    </w:p>
    <w:p w:rsidR="008921CE" w:rsidRPr="008921CE" w:rsidRDefault="008921CE" w:rsidP="0018737B">
      <w:pPr>
        <w:spacing w:after="0" w:line="240" w:lineRule="auto"/>
        <w:rPr>
          <w:rFonts w:eastAsia="Times New Roman" w:cstheme="minorHAnsi"/>
          <w:b/>
          <w:color w:val="222222"/>
        </w:rPr>
      </w:pPr>
      <w:r w:rsidRPr="002B726C">
        <w:rPr>
          <w:rFonts w:eastAsia="Times New Roman" w:cstheme="minorHAnsi"/>
          <w:b/>
          <w:iCs/>
          <w:color w:val="222222"/>
        </w:rPr>
        <w:t>How do businesses apply?</w:t>
      </w:r>
    </w:p>
    <w:p w:rsidR="008921CE" w:rsidRPr="008921CE" w:rsidRDefault="008921CE" w:rsidP="0018737B">
      <w:pPr>
        <w:spacing w:after="0" w:line="240" w:lineRule="auto"/>
        <w:rPr>
          <w:rFonts w:eastAsia="Times New Roman" w:cstheme="minorHAnsi"/>
          <w:color w:val="222222"/>
        </w:rPr>
      </w:pPr>
      <w:r w:rsidRPr="008921CE">
        <w:rPr>
          <w:rFonts w:eastAsia="Times New Roman" w:cstheme="minorHAnsi"/>
          <w:color w:val="222222"/>
        </w:rPr>
        <w:t>Businesses can submit an application online here: </w:t>
      </w:r>
      <w:hyperlink r:id="rId8" w:history="1">
        <w:r w:rsidRPr="0018737B">
          <w:rPr>
            <w:rFonts w:eastAsia="Times New Roman" w:cstheme="minorHAnsi"/>
            <w:color w:val="FF434C"/>
            <w:u w:val="single"/>
          </w:rPr>
          <w:t>Landing Page</w:t>
        </w:r>
      </w:hyperlink>
      <w:r w:rsidRPr="008921CE">
        <w:rPr>
          <w:rFonts w:eastAsia="Times New Roman" w:cstheme="minorHAnsi"/>
          <w:color w:val="222222"/>
        </w:rPr>
        <w:t>, </w:t>
      </w:r>
      <w:hyperlink r:id="rId9" w:history="1">
        <w:r w:rsidRPr="0018737B">
          <w:rPr>
            <w:rFonts w:eastAsia="Times New Roman" w:cstheme="minorHAnsi"/>
            <w:color w:val="FF434C"/>
            <w:u w:val="single"/>
          </w:rPr>
          <w:t>English Application</w:t>
        </w:r>
      </w:hyperlink>
      <w:r w:rsidRPr="008921CE">
        <w:rPr>
          <w:rFonts w:eastAsia="Times New Roman" w:cstheme="minorHAnsi"/>
          <w:color w:val="222222"/>
        </w:rPr>
        <w:t>, </w:t>
      </w:r>
      <w:hyperlink r:id="rId10" w:history="1">
        <w:proofErr w:type="gramStart"/>
        <w:r w:rsidRPr="0018737B">
          <w:rPr>
            <w:rFonts w:eastAsia="Times New Roman" w:cstheme="minorHAnsi"/>
            <w:color w:val="FF434C"/>
            <w:u w:val="single"/>
          </w:rPr>
          <w:t>Spanish</w:t>
        </w:r>
        <w:proofErr w:type="gramEnd"/>
        <w:r w:rsidRPr="0018737B">
          <w:rPr>
            <w:rFonts w:eastAsia="Times New Roman" w:cstheme="minorHAnsi"/>
            <w:color w:val="FF434C"/>
            <w:u w:val="single"/>
          </w:rPr>
          <w:t xml:space="preserve"> Application</w:t>
        </w:r>
      </w:hyperlink>
      <w:r w:rsidRPr="008921CE">
        <w:rPr>
          <w:rFonts w:eastAsia="Times New Roman" w:cstheme="minorHAnsi"/>
          <w:color w:val="222222"/>
        </w:rPr>
        <w:t xml:space="preserve">. Applications for awards will be accepted until 5:00pm on April </w:t>
      </w:r>
      <w:proofErr w:type="gramStart"/>
      <w:r w:rsidRPr="008921CE">
        <w:rPr>
          <w:rFonts w:eastAsia="Times New Roman" w:cstheme="minorHAnsi"/>
          <w:color w:val="222222"/>
        </w:rPr>
        <w:t>1st</w:t>
      </w:r>
      <w:proofErr w:type="gramEnd"/>
      <w:r w:rsidRPr="008921CE">
        <w:rPr>
          <w:rFonts w:eastAsia="Times New Roman" w:cstheme="minorHAnsi"/>
          <w:color w:val="222222"/>
        </w:rPr>
        <w:t>, and winners will be chosen via a lottery, therefore, there is no benefit to submitting an application first as long as a valid, complete application is received by the deadline.</w:t>
      </w:r>
    </w:p>
    <w:p w:rsidR="002B726C" w:rsidRDefault="002B726C" w:rsidP="0018737B">
      <w:pPr>
        <w:spacing w:after="0" w:line="240" w:lineRule="auto"/>
        <w:rPr>
          <w:rFonts w:eastAsia="Times New Roman" w:cstheme="minorHAnsi"/>
          <w:i/>
          <w:iCs/>
          <w:color w:val="222222"/>
        </w:rPr>
      </w:pPr>
    </w:p>
    <w:p w:rsidR="008921CE" w:rsidRPr="008921CE" w:rsidRDefault="008921CE" w:rsidP="0018737B">
      <w:pPr>
        <w:spacing w:after="0" w:line="240" w:lineRule="auto"/>
        <w:rPr>
          <w:rFonts w:eastAsia="Times New Roman" w:cstheme="minorHAnsi"/>
          <w:b/>
          <w:color w:val="222222"/>
        </w:rPr>
      </w:pPr>
      <w:r w:rsidRPr="002B726C">
        <w:rPr>
          <w:rFonts w:eastAsia="Times New Roman" w:cstheme="minorHAnsi"/>
          <w:b/>
          <w:iCs/>
          <w:color w:val="222222"/>
        </w:rPr>
        <w:t>How much money is available?</w:t>
      </w:r>
    </w:p>
    <w:p w:rsidR="002B726C" w:rsidRDefault="008921CE" w:rsidP="002B726C">
      <w:pPr>
        <w:spacing w:after="0" w:line="240" w:lineRule="auto"/>
        <w:rPr>
          <w:rFonts w:eastAsia="Times New Roman" w:cstheme="minorHAnsi"/>
          <w:color w:val="222222"/>
        </w:rPr>
      </w:pPr>
      <w:r w:rsidRPr="008921CE">
        <w:rPr>
          <w:rFonts w:eastAsia="Times New Roman" w:cstheme="minorHAnsi"/>
          <w:color w:val="222222"/>
        </w:rPr>
        <w:t>$14 million is available under this program. </w:t>
      </w:r>
      <w:r w:rsidR="002B726C">
        <w:rPr>
          <w:rFonts w:eastAsia="Times New Roman" w:cstheme="minorHAnsi"/>
          <w:color w:val="222222"/>
        </w:rPr>
        <w:t xml:space="preserve"> </w:t>
      </w:r>
    </w:p>
    <w:p w:rsidR="002B726C" w:rsidRDefault="008921CE" w:rsidP="002B726C">
      <w:pPr>
        <w:pStyle w:val="ListParagraph"/>
        <w:numPr>
          <w:ilvl w:val="0"/>
          <w:numId w:val="2"/>
        </w:numPr>
        <w:spacing w:after="0" w:line="240" w:lineRule="auto"/>
        <w:rPr>
          <w:rFonts w:eastAsia="Times New Roman" w:cstheme="minorHAnsi"/>
          <w:color w:val="222222"/>
        </w:rPr>
      </w:pPr>
      <w:r w:rsidRPr="002B726C">
        <w:rPr>
          <w:rFonts w:eastAsia="Times New Roman" w:cstheme="minorHAnsi"/>
          <w:color w:val="222222"/>
        </w:rPr>
        <w:t>Bars and restaurants that generated less than $500,000 in annual revenue last year will be eligible for up to $10,000.</w:t>
      </w:r>
      <w:r w:rsidR="002B726C" w:rsidRPr="002B726C">
        <w:rPr>
          <w:rFonts w:eastAsia="Times New Roman" w:cstheme="minorHAnsi"/>
          <w:color w:val="222222"/>
        </w:rPr>
        <w:t xml:space="preserve">  </w:t>
      </w:r>
    </w:p>
    <w:p w:rsidR="002B726C" w:rsidRDefault="008921CE" w:rsidP="002B726C">
      <w:pPr>
        <w:pStyle w:val="ListParagraph"/>
        <w:numPr>
          <w:ilvl w:val="0"/>
          <w:numId w:val="2"/>
        </w:numPr>
        <w:spacing w:after="0" w:line="240" w:lineRule="auto"/>
        <w:rPr>
          <w:rFonts w:eastAsia="Times New Roman" w:cstheme="minorHAnsi"/>
          <w:color w:val="222222"/>
        </w:rPr>
      </w:pPr>
      <w:r w:rsidRPr="002B726C">
        <w:rPr>
          <w:rFonts w:eastAsia="Times New Roman" w:cstheme="minorHAnsi"/>
          <w:color w:val="222222"/>
        </w:rPr>
        <w:t>Bars and restaurants that generated between $500,000 and $1M in annual revenue last year will be eligible for up to $25,000. </w:t>
      </w:r>
      <w:r w:rsidR="002B726C" w:rsidRPr="002B726C">
        <w:rPr>
          <w:rFonts w:eastAsia="Times New Roman" w:cstheme="minorHAnsi"/>
          <w:color w:val="222222"/>
        </w:rPr>
        <w:t xml:space="preserve"> </w:t>
      </w:r>
    </w:p>
    <w:p w:rsidR="008921CE" w:rsidRDefault="008921CE" w:rsidP="002B726C">
      <w:pPr>
        <w:pStyle w:val="ListParagraph"/>
        <w:numPr>
          <w:ilvl w:val="0"/>
          <w:numId w:val="2"/>
        </w:numPr>
        <w:spacing w:after="0" w:line="240" w:lineRule="auto"/>
        <w:rPr>
          <w:rFonts w:eastAsia="Times New Roman" w:cstheme="minorHAnsi"/>
          <w:color w:val="222222"/>
        </w:rPr>
      </w:pPr>
      <w:r w:rsidRPr="002B726C">
        <w:rPr>
          <w:rFonts w:eastAsia="Times New Roman" w:cstheme="minorHAnsi"/>
          <w:color w:val="222222"/>
        </w:rPr>
        <w:t>Hotels that generated less than $8 million in annual revenue last year will be eligible for up to $50,000. </w:t>
      </w:r>
    </w:p>
    <w:p w:rsidR="002B726C" w:rsidRPr="002B726C" w:rsidRDefault="002B726C" w:rsidP="002B726C">
      <w:pPr>
        <w:pStyle w:val="ListParagraph"/>
        <w:spacing w:after="0" w:line="240" w:lineRule="auto"/>
        <w:rPr>
          <w:rFonts w:eastAsia="Times New Roman" w:cstheme="minorHAnsi"/>
          <w:color w:val="222222"/>
        </w:rPr>
      </w:pPr>
    </w:p>
    <w:p w:rsidR="008921CE" w:rsidRPr="008921CE" w:rsidRDefault="008921CE" w:rsidP="0018737B">
      <w:pPr>
        <w:spacing w:after="0" w:line="240" w:lineRule="auto"/>
        <w:rPr>
          <w:rFonts w:eastAsia="Times New Roman" w:cstheme="minorHAnsi"/>
          <w:b/>
          <w:color w:val="222222"/>
        </w:rPr>
      </w:pPr>
      <w:r w:rsidRPr="002B726C">
        <w:rPr>
          <w:rFonts w:eastAsia="Times New Roman" w:cstheme="minorHAnsi"/>
          <w:b/>
          <w:iCs/>
          <w:color w:val="222222"/>
        </w:rPr>
        <w:t>How soon will businesses receive funds?</w:t>
      </w:r>
    </w:p>
    <w:p w:rsidR="008921CE" w:rsidRDefault="008921CE" w:rsidP="0018737B">
      <w:pPr>
        <w:spacing w:after="0" w:line="240" w:lineRule="auto"/>
        <w:rPr>
          <w:rFonts w:eastAsia="Times New Roman" w:cstheme="minorHAnsi"/>
          <w:color w:val="222222"/>
        </w:rPr>
      </w:pPr>
      <w:proofErr w:type="spellStart"/>
      <w:r w:rsidRPr="008921CE">
        <w:rPr>
          <w:rFonts w:eastAsia="Times New Roman" w:cstheme="minorHAnsi"/>
          <w:color w:val="222222"/>
        </w:rPr>
        <w:t>Accion</w:t>
      </w:r>
      <w:proofErr w:type="spellEnd"/>
      <w:r w:rsidRPr="008921CE">
        <w:rPr>
          <w:rFonts w:eastAsia="Times New Roman" w:cstheme="minorHAnsi"/>
          <w:color w:val="222222"/>
        </w:rPr>
        <w:t xml:space="preserve"> will notify businesses on April </w:t>
      </w:r>
      <w:proofErr w:type="gramStart"/>
      <w:r w:rsidRPr="008921CE">
        <w:rPr>
          <w:rFonts w:eastAsia="Times New Roman" w:cstheme="minorHAnsi"/>
          <w:color w:val="222222"/>
        </w:rPr>
        <w:t>4th</w:t>
      </w:r>
      <w:proofErr w:type="gramEnd"/>
      <w:r w:rsidRPr="008921CE">
        <w:rPr>
          <w:rFonts w:eastAsia="Times New Roman" w:cstheme="minorHAnsi"/>
          <w:color w:val="222222"/>
        </w:rPr>
        <w:t xml:space="preserve"> if they have received an award. </w:t>
      </w:r>
      <w:proofErr w:type="spellStart"/>
      <w:r w:rsidRPr="008921CE">
        <w:rPr>
          <w:rFonts w:eastAsia="Times New Roman" w:cstheme="minorHAnsi"/>
          <w:color w:val="222222"/>
        </w:rPr>
        <w:t>Accion</w:t>
      </w:r>
      <w:proofErr w:type="spellEnd"/>
      <w:r w:rsidRPr="008921CE">
        <w:rPr>
          <w:rFonts w:eastAsia="Times New Roman" w:cstheme="minorHAnsi"/>
          <w:color w:val="222222"/>
        </w:rPr>
        <w:t xml:space="preserve"> and DCEO are striving to make funds available to awarded businesses within two days of receiving the necessary bank information from an awarded grantee.</w:t>
      </w:r>
    </w:p>
    <w:p w:rsidR="002B726C" w:rsidRPr="0018737B" w:rsidRDefault="002B726C" w:rsidP="0018737B">
      <w:pPr>
        <w:spacing w:after="0" w:line="240" w:lineRule="auto"/>
        <w:rPr>
          <w:rFonts w:eastAsia="Times New Roman" w:cstheme="minorHAnsi"/>
          <w:color w:val="222222"/>
        </w:rPr>
      </w:pPr>
    </w:p>
    <w:p w:rsidR="0018737B" w:rsidRPr="002B726C" w:rsidRDefault="0018737B" w:rsidP="0018737B">
      <w:pPr>
        <w:shd w:val="clear" w:color="auto" w:fill="FFFFFF"/>
        <w:spacing w:after="0" w:line="240" w:lineRule="auto"/>
        <w:jc w:val="center"/>
        <w:rPr>
          <w:rFonts w:eastAsia="Times New Roman" w:cstheme="minorHAnsi"/>
          <w:color w:val="000000"/>
          <w:sz w:val="28"/>
          <w:szCs w:val="28"/>
        </w:rPr>
      </w:pPr>
      <w:r w:rsidRPr="002B726C">
        <w:rPr>
          <w:rFonts w:eastAsia="Times New Roman" w:cstheme="minorHAnsi"/>
          <w:b/>
          <w:bCs/>
          <w:color w:val="000000"/>
          <w:sz w:val="28"/>
          <w:szCs w:val="28"/>
          <w:u w:val="single"/>
        </w:rPr>
        <w:t>Downstate Small Business Stabilization Program</w:t>
      </w:r>
    </w:p>
    <w:p w:rsidR="00244AC1" w:rsidRDefault="00244AC1" w:rsidP="00244AC1">
      <w:pPr>
        <w:shd w:val="clear" w:color="auto" w:fill="FFFFFF"/>
        <w:spacing w:after="0" w:line="240" w:lineRule="auto"/>
        <w:jc w:val="center"/>
        <w:rPr>
          <w:rFonts w:ascii="&amp;quot" w:hAnsi="&amp;quot"/>
          <w:i/>
          <w:iCs/>
          <w:color w:val="212121"/>
          <w:sz w:val="23"/>
          <w:szCs w:val="23"/>
        </w:rPr>
      </w:pPr>
      <w:r>
        <w:rPr>
          <w:rFonts w:ascii="&amp;quot" w:hAnsi="&amp;quot"/>
          <w:i/>
          <w:iCs/>
          <w:color w:val="212121"/>
          <w:sz w:val="23"/>
          <w:szCs w:val="23"/>
        </w:rPr>
        <w:t>T</w:t>
      </w:r>
      <w:r>
        <w:rPr>
          <w:rFonts w:ascii="&amp;quot" w:hAnsi="&amp;quot"/>
          <w:i/>
          <w:iCs/>
          <w:color w:val="212121"/>
          <w:sz w:val="23"/>
          <w:szCs w:val="23"/>
        </w:rPr>
        <w:t>his program ONLY applies to businesses in McHenry County in District 65</w:t>
      </w:r>
    </w:p>
    <w:p w:rsidR="00244AC1" w:rsidRDefault="00244AC1" w:rsidP="00244AC1">
      <w:pPr>
        <w:shd w:val="clear" w:color="auto" w:fill="FFFFFF"/>
        <w:spacing w:after="0" w:line="240" w:lineRule="auto"/>
        <w:rPr>
          <w:rFonts w:eastAsia="Times New Roman" w:cstheme="minorHAnsi"/>
          <w:color w:val="000000"/>
        </w:rPr>
      </w:pPr>
    </w:p>
    <w:p w:rsidR="0018737B" w:rsidRDefault="0018737B" w:rsidP="0018737B">
      <w:pPr>
        <w:shd w:val="clear" w:color="auto" w:fill="FFFFFF"/>
        <w:spacing w:after="0" w:line="240" w:lineRule="auto"/>
        <w:rPr>
          <w:rFonts w:eastAsia="Times New Roman" w:cstheme="minorHAnsi"/>
          <w:color w:val="000000"/>
        </w:rPr>
      </w:pPr>
      <w:r w:rsidRPr="0018737B">
        <w:rPr>
          <w:rFonts w:eastAsia="Times New Roman" w:cstheme="minorHAnsi"/>
          <w:color w:val="000000"/>
        </w:rPr>
        <w:t xml:space="preserve">To support small businesses in downstate and rural counties across Illinois, DCEO is repurposing $20 million in CDBG funds to stand up the Downstate Small Business Stabilization Program.  This Fund will offer small businesses of up to 50 employees the opportunity to </w:t>
      </w:r>
      <w:proofErr w:type="gramStart"/>
      <w:r w:rsidRPr="0018737B">
        <w:rPr>
          <w:rFonts w:eastAsia="Times New Roman" w:cstheme="minorHAnsi"/>
          <w:color w:val="000000"/>
        </w:rPr>
        <w:t>partner</w:t>
      </w:r>
      <w:proofErr w:type="gramEnd"/>
      <w:r w:rsidRPr="0018737B">
        <w:rPr>
          <w:rFonts w:eastAsia="Times New Roman" w:cstheme="minorHAnsi"/>
          <w:color w:val="000000"/>
        </w:rPr>
        <w:t xml:space="preserve"> with their local governments to obtain grants of up to $25,000 in working capital.  These grants </w:t>
      </w:r>
      <w:proofErr w:type="gramStart"/>
      <w:r w:rsidRPr="0018737B">
        <w:rPr>
          <w:rFonts w:eastAsia="Times New Roman" w:cstheme="minorHAnsi"/>
          <w:color w:val="000000"/>
        </w:rPr>
        <w:t>will be offered</w:t>
      </w:r>
      <w:proofErr w:type="gramEnd"/>
      <w:r w:rsidRPr="0018737B">
        <w:rPr>
          <w:rFonts w:eastAsia="Times New Roman" w:cstheme="minorHAnsi"/>
          <w:color w:val="000000"/>
        </w:rPr>
        <w:t xml:space="preserve"> on a rolling basis.</w:t>
      </w:r>
      <w:r w:rsidR="002C4370">
        <w:rPr>
          <w:rFonts w:eastAsia="Times New Roman" w:cstheme="minorHAnsi"/>
          <w:color w:val="000000"/>
        </w:rPr>
        <w:t xml:space="preserve"> </w:t>
      </w:r>
    </w:p>
    <w:p w:rsidR="002B726C" w:rsidRDefault="002B726C" w:rsidP="0018737B">
      <w:pPr>
        <w:shd w:val="clear" w:color="auto" w:fill="FFFFFF"/>
        <w:spacing w:after="0" w:line="240" w:lineRule="auto"/>
        <w:rPr>
          <w:rFonts w:eastAsia="Times New Roman" w:cstheme="minorHAnsi"/>
          <w:i/>
          <w:iCs/>
          <w:color w:val="000000"/>
        </w:rPr>
      </w:pPr>
      <w:bookmarkStart w:id="0" w:name="_GoBack"/>
      <w:bookmarkEnd w:id="0"/>
    </w:p>
    <w:p w:rsidR="0018737B" w:rsidRPr="0018737B" w:rsidRDefault="0018737B" w:rsidP="0018737B">
      <w:pPr>
        <w:shd w:val="clear" w:color="auto" w:fill="FFFFFF"/>
        <w:spacing w:after="0" w:line="240" w:lineRule="auto"/>
        <w:rPr>
          <w:rFonts w:eastAsia="Times New Roman" w:cstheme="minorHAnsi"/>
          <w:color w:val="000000"/>
        </w:rPr>
      </w:pPr>
      <w:r w:rsidRPr="002B726C">
        <w:rPr>
          <w:rFonts w:eastAsia="Times New Roman" w:cstheme="minorHAnsi"/>
          <w:b/>
          <w:iCs/>
          <w:color w:val="000000"/>
        </w:rPr>
        <w:t>Who is eligible?</w:t>
      </w:r>
      <w:r w:rsidRPr="0018737B">
        <w:rPr>
          <w:rFonts w:eastAsia="Times New Roman" w:cstheme="minorHAnsi"/>
          <w:color w:val="000000"/>
        </w:rPr>
        <w:br/>
        <w:t xml:space="preserve">Local governments can apply on behalf of businesses with 50 employees or less. Only units of local government recognized by the Illinois Constitution and able to support economic development activities on a sufficient scale are eligible to apply for Economic Development grant funding.  This includes cities, villages, and counties.  Municipalities must not be a HUD direct Entitlement community or be located in an urban county that receives "entitlement" funds.  A map of eligible areas of the state </w:t>
      </w:r>
      <w:proofErr w:type="gramStart"/>
      <w:r w:rsidRPr="0018737B">
        <w:rPr>
          <w:rFonts w:eastAsia="Times New Roman" w:cstheme="minorHAnsi"/>
          <w:color w:val="000000"/>
        </w:rPr>
        <w:t>can be accessed</w:t>
      </w:r>
      <w:proofErr w:type="gramEnd"/>
      <w:r w:rsidRPr="0018737B">
        <w:rPr>
          <w:rFonts w:eastAsia="Times New Roman" w:cstheme="minorHAnsi"/>
          <w:color w:val="000000"/>
        </w:rPr>
        <w:t> </w:t>
      </w:r>
      <w:hyperlink r:id="rId11" w:history="1">
        <w:r w:rsidRPr="0018737B">
          <w:rPr>
            <w:rFonts w:eastAsia="Times New Roman" w:cstheme="minorHAnsi"/>
            <w:color w:val="003366"/>
            <w:u w:val="single"/>
          </w:rPr>
          <w:t>here</w:t>
        </w:r>
      </w:hyperlink>
      <w:r w:rsidRPr="0018737B">
        <w:rPr>
          <w:rFonts w:eastAsia="Times New Roman" w:cstheme="minorHAnsi"/>
          <w:color w:val="000000"/>
        </w:rPr>
        <w:t>, see “Staff Contact Information.”</w:t>
      </w:r>
    </w:p>
    <w:p w:rsidR="0018737B" w:rsidRDefault="002B726C" w:rsidP="0018737B">
      <w:pPr>
        <w:shd w:val="clear" w:color="auto" w:fill="FFFFFF"/>
        <w:spacing w:after="0" w:line="240" w:lineRule="auto"/>
        <w:rPr>
          <w:rFonts w:eastAsia="Times New Roman" w:cstheme="minorHAnsi"/>
          <w:color w:val="000000"/>
        </w:rPr>
      </w:pPr>
      <w:r w:rsidRPr="002B726C">
        <w:rPr>
          <w:rFonts w:eastAsia="Times New Roman" w:cstheme="minorHAnsi"/>
          <w:b/>
          <w:iCs/>
          <w:color w:val="000000"/>
        </w:rPr>
        <w:lastRenderedPageBreak/>
        <w:t>Ineligible Communities</w:t>
      </w:r>
      <w:r w:rsidRPr="0018737B">
        <w:rPr>
          <w:rFonts w:eastAsia="Times New Roman" w:cstheme="minorHAnsi"/>
          <w:i/>
          <w:iCs/>
          <w:color w:val="000000"/>
        </w:rPr>
        <w:t>          </w:t>
      </w:r>
      <w:r w:rsidR="0018737B" w:rsidRPr="0018737B">
        <w:rPr>
          <w:rFonts w:eastAsia="Times New Roman" w:cstheme="minorHAnsi"/>
          <w:color w:val="000000"/>
        </w:rPr>
        <w:br/>
      </w:r>
      <w:proofErr w:type="spellStart"/>
      <w:r w:rsidR="0018737B" w:rsidRPr="0018737B">
        <w:rPr>
          <w:rFonts w:eastAsia="Times New Roman" w:cstheme="minorHAnsi"/>
          <w:color w:val="000000"/>
        </w:rPr>
        <w:t>Communities</w:t>
      </w:r>
      <w:proofErr w:type="spellEnd"/>
      <w:r w:rsidR="0018737B" w:rsidRPr="0018737B">
        <w:rPr>
          <w:rFonts w:eastAsia="Times New Roman" w:cstheme="minorHAnsi"/>
          <w:color w:val="000000"/>
        </w:rPr>
        <w:t xml:space="preserve"> receiving an annual allocation directly from HUD on an entitlement (formula) basis are </w:t>
      </w:r>
      <w:r w:rsidR="0018737B" w:rsidRPr="0018737B">
        <w:rPr>
          <w:rFonts w:eastAsia="Times New Roman" w:cstheme="minorHAnsi"/>
          <w:color w:val="000000"/>
          <w:u w:val="single"/>
        </w:rPr>
        <w:t>not eligible</w:t>
      </w:r>
      <w:r w:rsidR="0018737B" w:rsidRPr="0018737B">
        <w:rPr>
          <w:rFonts w:eastAsia="Times New Roman" w:cstheme="minorHAnsi"/>
          <w:color w:val="000000"/>
        </w:rPr>
        <w:t> to apply for the State’s CDBG funding.  In 2019, Illinois had 33 metropolitan cities and eight urban counties named as Entitlements.  They are:</w:t>
      </w:r>
    </w:p>
    <w:p w:rsidR="002B726C" w:rsidRPr="0018737B" w:rsidRDefault="002B726C" w:rsidP="0018737B">
      <w:pPr>
        <w:shd w:val="clear" w:color="auto" w:fill="FFFFFF"/>
        <w:spacing w:after="0" w:line="240" w:lineRule="auto"/>
        <w:rPr>
          <w:rFonts w:eastAsia="Times New Roman" w:cstheme="minorHAnsi"/>
          <w:color w:val="000000"/>
        </w:rPr>
      </w:pPr>
    </w:p>
    <w:p w:rsidR="0018737B" w:rsidRPr="0018737B" w:rsidRDefault="0018737B" w:rsidP="0018737B">
      <w:pPr>
        <w:shd w:val="clear" w:color="auto" w:fill="FFFFFF"/>
        <w:spacing w:after="0" w:line="240" w:lineRule="auto"/>
        <w:jc w:val="center"/>
        <w:rPr>
          <w:rFonts w:eastAsia="Times New Roman" w:cstheme="minorHAnsi"/>
          <w:color w:val="000000"/>
        </w:rPr>
      </w:pPr>
      <w:r w:rsidRPr="0018737B">
        <w:rPr>
          <w:rFonts w:eastAsia="Times New Roman" w:cstheme="minorHAnsi"/>
          <w:b/>
          <w:bCs/>
          <w:color w:val="000000"/>
          <w:u w:val="single"/>
        </w:rPr>
        <w:t>Urban Counties</w:t>
      </w:r>
    </w:p>
    <w:tbl>
      <w:tblPr>
        <w:tblW w:w="0" w:type="auto"/>
        <w:jc w:val="center"/>
        <w:tblCellMar>
          <w:left w:w="0" w:type="dxa"/>
          <w:right w:w="0" w:type="dxa"/>
        </w:tblCellMar>
        <w:tblLook w:val="04A0" w:firstRow="1" w:lastRow="0" w:firstColumn="1" w:lastColumn="0" w:noHBand="0" w:noVBand="1"/>
      </w:tblPr>
      <w:tblGrid>
        <w:gridCol w:w="2100"/>
        <w:gridCol w:w="2100"/>
      </w:tblGrid>
      <w:tr w:rsidR="0018737B" w:rsidRPr="0018737B" w:rsidTr="008F3785">
        <w:trPr>
          <w:jc w:val="center"/>
        </w:trPr>
        <w:tc>
          <w:tcPr>
            <w:tcW w:w="210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Cook County</w:t>
            </w:r>
          </w:p>
        </w:tc>
        <w:tc>
          <w:tcPr>
            <w:tcW w:w="210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Madison County</w:t>
            </w:r>
          </w:p>
        </w:tc>
      </w:tr>
      <w:tr w:rsidR="0018737B" w:rsidRPr="0018737B" w:rsidTr="008F3785">
        <w:trPr>
          <w:jc w:val="center"/>
        </w:trPr>
        <w:tc>
          <w:tcPr>
            <w:tcW w:w="210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DuPage County</w:t>
            </w:r>
          </w:p>
        </w:tc>
        <w:tc>
          <w:tcPr>
            <w:tcW w:w="210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McHenry County</w:t>
            </w:r>
          </w:p>
        </w:tc>
      </w:tr>
      <w:tr w:rsidR="0018737B" w:rsidRPr="0018737B" w:rsidTr="008F3785">
        <w:trPr>
          <w:jc w:val="center"/>
        </w:trPr>
        <w:tc>
          <w:tcPr>
            <w:tcW w:w="210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Kane County</w:t>
            </w:r>
          </w:p>
        </w:tc>
        <w:tc>
          <w:tcPr>
            <w:tcW w:w="210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St. Clair County</w:t>
            </w:r>
          </w:p>
        </w:tc>
      </w:tr>
      <w:tr w:rsidR="0018737B" w:rsidRPr="0018737B" w:rsidTr="008F3785">
        <w:trPr>
          <w:jc w:val="center"/>
        </w:trPr>
        <w:tc>
          <w:tcPr>
            <w:tcW w:w="210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Lake County</w:t>
            </w:r>
          </w:p>
        </w:tc>
        <w:tc>
          <w:tcPr>
            <w:tcW w:w="210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Will County</w:t>
            </w:r>
          </w:p>
        </w:tc>
      </w:tr>
    </w:tbl>
    <w:p w:rsidR="0018737B" w:rsidRPr="0018737B" w:rsidRDefault="0018737B" w:rsidP="0018737B">
      <w:pPr>
        <w:shd w:val="clear" w:color="auto" w:fill="FFFFFF"/>
        <w:spacing w:after="0" w:line="240" w:lineRule="auto"/>
        <w:jc w:val="center"/>
        <w:rPr>
          <w:rFonts w:eastAsia="Times New Roman" w:cstheme="minorHAnsi"/>
          <w:color w:val="000000"/>
        </w:rPr>
      </w:pPr>
      <w:r w:rsidRPr="0018737B">
        <w:rPr>
          <w:rFonts w:eastAsia="Times New Roman" w:cstheme="minorHAnsi"/>
          <w:color w:val="000000"/>
        </w:rPr>
        <w:t> </w:t>
      </w:r>
    </w:p>
    <w:p w:rsidR="0018737B" w:rsidRPr="0018737B" w:rsidRDefault="0018737B" w:rsidP="0018737B">
      <w:pPr>
        <w:shd w:val="clear" w:color="auto" w:fill="FFFFFF"/>
        <w:spacing w:after="0" w:line="240" w:lineRule="auto"/>
        <w:jc w:val="center"/>
        <w:rPr>
          <w:rFonts w:eastAsia="Times New Roman" w:cstheme="minorHAnsi"/>
          <w:color w:val="000000"/>
        </w:rPr>
      </w:pPr>
      <w:r w:rsidRPr="0018737B">
        <w:rPr>
          <w:rFonts w:eastAsia="Times New Roman" w:cstheme="minorHAnsi"/>
          <w:b/>
          <w:bCs/>
          <w:color w:val="000000"/>
          <w:u w:val="single"/>
        </w:rPr>
        <w:t>Metropolitan Cities</w:t>
      </w:r>
    </w:p>
    <w:tbl>
      <w:tblPr>
        <w:tblW w:w="0" w:type="auto"/>
        <w:jc w:val="center"/>
        <w:tblCellMar>
          <w:left w:w="0" w:type="dxa"/>
          <w:right w:w="0" w:type="dxa"/>
        </w:tblCellMar>
        <w:tblLook w:val="04A0" w:firstRow="1" w:lastRow="0" w:firstColumn="1" w:lastColumn="0" w:noHBand="0" w:noVBand="1"/>
      </w:tblPr>
      <w:tblGrid>
        <w:gridCol w:w="2160"/>
        <w:gridCol w:w="2070"/>
        <w:gridCol w:w="1980"/>
        <w:gridCol w:w="1620"/>
      </w:tblGrid>
      <w:tr w:rsidR="0018737B" w:rsidRPr="0018737B" w:rsidTr="008F3785">
        <w:trPr>
          <w:jc w:val="center"/>
        </w:trPr>
        <w:tc>
          <w:tcPr>
            <w:tcW w:w="216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Arlington Heights</w:t>
            </w:r>
          </w:p>
        </w:tc>
        <w:tc>
          <w:tcPr>
            <w:tcW w:w="207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DeKalb</w:t>
            </w:r>
          </w:p>
        </w:tc>
        <w:tc>
          <w:tcPr>
            <w:tcW w:w="198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Mount Prospect</w:t>
            </w:r>
          </w:p>
        </w:tc>
        <w:tc>
          <w:tcPr>
            <w:tcW w:w="162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Rantoul</w:t>
            </w:r>
          </w:p>
        </w:tc>
      </w:tr>
      <w:tr w:rsidR="0018737B" w:rsidRPr="0018737B" w:rsidTr="008F3785">
        <w:trPr>
          <w:jc w:val="center"/>
        </w:trPr>
        <w:tc>
          <w:tcPr>
            <w:tcW w:w="216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Aurora</w:t>
            </w:r>
          </w:p>
        </w:tc>
        <w:tc>
          <w:tcPr>
            <w:tcW w:w="207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Des Plaines</w:t>
            </w:r>
          </w:p>
        </w:tc>
        <w:tc>
          <w:tcPr>
            <w:tcW w:w="198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Naperville</w:t>
            </w:r>
          </w:p>
        </w:tc>
        <w:tc>
          <w:tcPr>
            <w:tcW w:w="162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Rockford</w:t>
            </w:r>
          </w:p>
        </w:tc>
      </w:tr>
      <w:tr w:rsidR="0018737B" w:rsidRPr="0018737B" w:rsidTr="008F3785">
        <w:trPr>
          <w:jc w:val="center"/>
        </w:trPr>
        <w:tc>
          <w:tcPr>
            <w:tcW w:w="216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Berwyn</w:t>
            </w:r>
          </w:p>
        </w:tc>
        <w:tc>
          <w:tcPr>
            <w:tcW w:w="207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Elgin</w:t>
            </w:r>
          </w:p>
        </w:tc>
        <w:tc>
          <w:tcPr>
            <w:tcW w:w="198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Normal</w:t>
            </w:r>
          </w:p>
        </w:tc>
        <w:tc>
          <w:tcPr>
            <w:tcW w:w="162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Rock Island</w:t>
            </w:r>
          </w:p>
        </w:tc>
      </w:tr>
      <w:tr w:rsidR="0018737B" w:rsidRPr="0018737B" w:rsidTr="008F3785">
        <w:trPr>
          <w:jc w:val="center"/>
        </w:trPr>
        <w:tc>
          <w:tcPr>
            <w:tcW w:w="216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Bloomington</w:t>
            </w:r>
          </w:p>
        </w:tc>
        <w:tc>
          <w:tcPr>
            <w:tcW w:w="207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Evanston</w:t>
            </w:r>
          </w:p>
        </w:tc>
        <w:tc>
          <w:tcPr>
            <w:tcW w:w="198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Oak Lawn</w:t>
            </w:r>
          </w:p>
        </w:tc>
        <w:tc>
          <w:tcPr>
            <w:tcW w:w="162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Schaumburg</w:t>
            </w:r>
          </w:p>
        </w:tc>
      </w:tr>
      <w:tr w:rsidR="0018737B" w:rsidRPr="0018737B" w:rsidTr="008F3785">
        <w:trPr>
          <w:jc w:val="center"/>
        </w:trPr>
        <w:tc>
          <w:tcPr>
            <w:tcW w:w="216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Champaign</w:t>
            </w:r>
          </w:p>
        </w:tc>
        <w:tc>
          <w:tcPr>
            <w:tcW w:w="207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Hoffman Estates</w:t>
            </w:r>
          </w:p>
        </w:tc>
        <w:tc>
          <w:tcPr>
            <w:tcW w:w="198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Oak Park</w:t>
            </w:r>
          </w:p>
        </w:tc>
        <w:tc>
          <w:tcPr>
            <w:tcW w:w="162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Skokie</w:t>
            </w:r>
          </w:p>
        </w:tc>
      </w:tr>
      <w:tr w:rsidR="0018737B" w:rsidRPr="0018737B" w:rsidTr="008F3785">
        <w:trPr>
          <w:jc w:val="center"/>
        </w:trPr>
        <w:tc>
          <w:tcPr>
            <w:tcW w:w="216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Chicago</w:t>
            </w:r>
          </w:p>
        </w:tc>
        <w:tc>
          <w:tcPr>
            <w:tcW w:w="207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Joliet</w:t>
            </w:r>
          </w:p>
        </w:tc>
        <w:tc>
          <w:tcPr>
            <w:tcW w:w="198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Palatine</w:t>
            </w:r>
          </w:p>
        </w:tc>
        <w:tc>
          <w:tcPr>
            <w:tcW w:w="162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Springfield</w:t>
            </w:r>
          </w:p>
        </w:tc>
      </w:tr>
      <w:tr w:rsidR="0018737B" w:rsidRPr="0018737B" w:rsidTr="008F3785">
        <w:trPr>
          <w:jc w:val="center"/>
        </w:trPr>
        <w:tc>
          <w:tcPr>
            <w:tcW w:w="216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Cicero</w:t>
            </w:r>
          </w:p>
        </w:tc>
        <w:tc>
          <w:tcPr>
            <w:tcW w:w="207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Kankakee</w:t>
            </w:r>
          </w:p>
        </w:tc>
        <w:tc>
          <w:tcPr>
            <w:tcW w:w="198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Pekin</w:t>
            </w:r>
          </w:p>
        </w:tc>
        <w:tc>
          <w:tcPr>
            <w:tcW w:w="162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Urbana</w:t>
            </w:r>
          </w:p>
        </w:tc>
      </w:tr>
      <w:tr w:rsidR="0018737B" w:rsidRPr="0018737B" w:rsidTr="008F3785">
        <w:trPr>
          <w:jc w:val="center"/>
        </w:trPr>
        <w:tc>
          <w:tcPr>
            <w:tcW w:w="216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Danville</w:t>
            </w:r>
          </w:p>
        </w:tc>
        <w:tc>
          <w:tcPr>
            <w:tcW w:w="207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Moline</w:t>
            </w:r>
          </w:p>
        </w:tc>
        <w:tc>
          <w:tcPr>
            <w:tcW w:w="198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Peoria</w:t>
            </w:r>
          </w:p>
        </w:tc>
        <w:tc>
          <w:tcPr>
            <w:tcW w:w="1620" w:type="dxa"/>
            <w:shd w:val="clear" w:color="auto" w:fill="auto"/>
            <w:hideMark/>
          </w:tcPr>
          <w:p w:rsidR="0018737B" w:rsidRPr="0018737B" w:rsidRDefault="0018737B" w:rsidP="0018737B">
            <w:pPr>
              <w:spacing w:after="0" w:line="240" w:lineRule="auto"/>
              <w:rPr>
                <w:rFonts w:eastAsia="Times New Roman" w:cstheme="minorHAnsi"/>
              </w:rPr>
            </w:pPr>
            <w:r w:rsidRPr="0018737B">
              <w:rPr>
                <w:rFonts w:eastAsia="Times New Roman" w:cstheme="minorHAnsi"/>
              </w:rPr>
              <w:t>Waukegan</w:t>
            </w:r>
          </w:p>
        </w:tc>
      </w:tr>
    </w:tbl>
    <w:p w:rsidR="002B726C" w:rsidRDefault="002B726C" w:rsidP="0018737B">
      <w:pPr>
        <w:shd w:val="clear" w:color="auto" w:fill="FFFFFF"/>
        <w:spacing w:after="0" w:line="240" w:lineRule="auto"/>
        <w:rPr>
          <w:rFonts w:eastAsia="Times New Roman" w:cstheme="minorHAnsi"/>
          <w:i/>
          <w:iCs/>
          <w:color w:val="000000"/>
          <w:u w:val="single"/>
        </w:rPr>
      </w:pPr>
    </w:p>
    <w:p w:rsidR="0018737B" w:rsidRPr="002B726C" w:rsidRDefault="0018737B" w:rsidP="0018737B">
      <w:pPr>
        <w:shd w:val="clear" w:color="auto" w:fill="FFFFFF"/>
        <w:spacing w:after="0" w:line="240" w:lineRule="auto"/>
        <w:rPr>
          <w:rFonts w:eastAsia="Times New Roman" w:cstheme="minorHAnsi"/>
          <w:b/>
          <w:color w:val="000000"/>
        </w:rPr>
      </w:pPr>
      <w:r w:rsidRPr="002B726C">
        <w:rPr>
          <w:rFonts w:eastAsia="Times New Roman" w:cstheme="minorHAnsi"/>
          <w:b/>
          <w:iCs/>
          <w:color w:val="000000"/>
        </w:rPr>
        <w:t xml:space="preserve">What can grants </w:t>
      </w:r>
      <w:proofErr w:type="gramStart"/>
      <w:r w:rsidRPr="002B726C">
        <w:rPr>
          <w:rFonts w:eastAsia="Times New Roman" w:cstheme="minorHAnsi"/>
          <w:b/>
          <w:iCs/>
          <w:color w:val="000000"/>
        </w:rPr>
        <w:t>be used</w:t>
      </w:r>
      <w:proofErr w:type="gramEnd"/>
      <w:r w:rsidRPr="002B726C">
        <w:rPr>
          <w:rFonts w:eastAsia="Times New Roman" w:cstheme="minorHAnsi"/>
          <w:b/>
          <w:iCs/>
          <w:color w:val="000000"/>
        </w:rPr>
        <w:t xml:space="preserve"> for?</w:t>
      </w:r>
    </w:p>
    <w:p w:rsidR="0018737B" w:rsidRPr="0018737B" w:rsidRDefault="0018737B" w:rsidP="0018737B">
      <w:pPr>
        <w:shd w:val="clear" w:color="auto" w:fill="FFFFFF"/>
        <w:spacing w:after="0" w:line="240" w:lineRule="auto"/>
        <w:rPr>
          <w:rFonts w:eastAsia="Times New Roman" w:cstheme="minorHAnsi"/>
          <w:color w:val="000000"/>
        </w:rPr>
      </w:pPr>
      <w:r w:rsidRPr="0018737B">
        <w:rPr>
          <w:rFonts w:eastAsia="Times New Roman" w:cstheme="minorHAnsi"/>
          <w:color w:val="000000"/>
        </w:rPr>
        <w:t xml:space="preserve">Grants </w:t>
      </w:r>
      <w:proofErr w:type="gramStart"/>
      <w:r w:rsidRPr="0018737B">
        <w:rPr>
          <w:rFonts w:eastAsia="Times New Roman" w:cstheme="minorHAnsi"/>
          <w:color w:val="000000"/>
        </w:rPr>
        <w:t>can be used</w:t>
      </w:r>
      <w:proofErr w:type="gramEnd"/>
      <w:r w:rsidRPr="0018737B">
        <w:rPr>
          <w:rFonts w:eastAsia="Times New Roman" w:cstheme="minorHAnsi"/>
          <w:color w:val="000000"/>
        </w:rPr>
        <w:t xml:space="preserve"> to support working capital.</w:t>
      </w:r>
    </w:p>
    <w:p w:rsidR="002B726C" w:rsidRDefault="002B726C" w:rsidP="0018737B">
      <w:pPr>
        <w:shd w:val="clear" w:color="auto" w:fill="FFFFFF"/>
        <w:spacing w:after="0" w:line="240" w:lineRule="auto"/>
        <w:rPr>
          <w:rFonts w:eastAsia="Times New Roman" w:cstheme="minorHAnsi"/>
          <w:i/>
          <w:iCs/>
          <w:color w:val="000000"/>
        </w:rPr>
      </w:pPr>
    </w:p>
    <w:p w:rsidR="0018737B" w:rsidRPr="002B726C" w:rsidRDefault="0018737B" w:rsidP="0018737B">
      <w:pPr>
        <w:shd w:val="clear" w:color="auto" w:fill="FFFFFF"/>
        <w:spacing w:after="0" w:line="240" w:lineRule="auto"/>
        <w:rPr>
          <w:rFonts w:eastAsia="Times New Roman" w:cstheme="minorHAnsi"/>
          <w:b/>
          <w:color w:val="000000"/>
        </w:rPr>
      </w:pPr>
      <w:r w:rsidRPr="002B726C">
        <w:rPr>
          <w:rFonts w:eastAsia="Times New Roman" w:cstheme="minorHAnsi"/>
          <w:b/>
          <w:iCs/>
          <w:color w:val="000000"/>
        </w:rPr>
        <w:t>How do businesses apply?</w:t>
      </w:r>
    </w:p>
    <w:p w:rsidR="0018737B" w:rsidRPr="0018737B" w:rsidRDefault="0018737B" w:rsidP="0018737B">
      <w:pPr>
        <w:shd w:val="clear" w:color="auto" w:fill="FFFFFF"/>
        <w:spacing w:after="0" w:line="240" w:lineRule="auto"/>
        <w:rPr>
          <w:rFonts w:eastAsia="Times New Roman" w:cstheme="minorHAnsi"/>
          <w:color w:val="000000"/>
        </w:rPr>
      </w:pPr>
      <w:r w:rsidRPr="0018737B">
        <w:rPr>
          <w:rFonts w:eastAsia="Times New Roman" w:cstheme="minorHAnsi"/>
          <w:color w:val="000000"/>
        </w:rPr>
        <w:t xml:space="preserve">Businesses in the eligible areas should work with their local governments to submit applications.  Application materials </w:t>
      </w:r>
      <w:proofErr w:type="gramStart"/>
      <w:r w:rsidRPr="0018737B">
        <w:rPr>
          <w:rFonts w:eastAsia="Times New Roman" w:cstheme="minorHAnsi"/>
          <w:color w:val="000000"/>
        </w:rPr>
        <w:t>will be posted</w:t>
      </w:r>
      <w:proofErr w:type="gramEnd"/>
      <w:r w:rsidRPr="0018737B">
        <w:rPr>
          <w:rFonts w:eastAsia="Times New Roman" w:cstheme="minorHAnsi"/>
          <w:color w:val="000000"/>
        </w:rPr>
        <w:t xml:space="preserve"> to the DCEO website on Friday, March 27, 2020.</w:t>
      </w:r>
    </w:p>
    <w:p w:rsidR="002B726C" w:rsidRDefault="002B726C" w:rsidP="0018737B">
      <w:pPr>
        <w:shd w:val="clear" w:color="auto" w:fill="FFFFFF"/>
        <w:spacing w:after="0" w:line="240" w:lineRule="auto"/>
        <w:rPr>
          <w:rFonts w:eastAsia="Times New Roman" w:cstheme="minorHAnsi"/>
          <w:i/>
          <w:iCs/>
          <w:color w:val="000000"/>
        </w:rPr>
      </w:pPr>
    </w:p>
    <w:p w:rsidR="0018737B" w:rsidRPr="002B726C" w:rsidRDefault="0018737B" w:rsidP="0018737B">
      <w:pPr>
        <w:shd w:val="clear" w:color="auto" w:fill="FFFFFF"/>
        <w:spacing w:after="0" w:line="240" w:lineRule="auto"/>
        <w:rPr>
          <w:rFonts w:eastAsia="Times New Roman" w:cstheme="minorHAnsi"/>
          <w:b/>
          <w:color w:val="000000"/>
        </w:rPr>
      </w:pPr>
      <w:r w:rsidRPr="002B726C">
        <w:rPr>
          <w:rFonts w:eastAsia="Times New Roman" w:cstheme="minorHAnsi"/>
          <w:b/>
          <w:iCs/>
          <w:color w:val="000000"/>
        </w:rPr>
        <w:t>How much money is available?</w:t>
      </w:r>
    </w:p>
    <w:p w:rsidR="0018737B" w:rsidRPr="0018737B" w:rsidRDefault="0018737B" w:rsidP="0018737B">
      <w:pPr>
        <w:shd w:val="clear" w:color="auto" w:fill="FFFFFF"/>
        <w:spacing w:after="0" w:line="240" w:lineRule="auto"/>
        <w:rPr>
          <w:rFonts w:eastAsia="Times New Roman" w:cstheme="minorHAnsi"/>
          <w:color w:val="000000"/>
        </w:rPr>
      </w:pPr>
      <w:r w:rsidRPr="0018737B">
        <w:rPr>
          <w:rFonts w:eastAsia="Times New Roman" w:cstheme="minorHAnsi"/>
          <w:color w:val="000000"/>
        </w:rPr>
        <w:t>Grants of up to $25,000 per business will be available.</w:t>
      </w:r>
    </w:p>
    <w:p w:rsidR="002B726C" w:rsidRDefault="002B726C" w:rsidP="0018737B">
      <w:pPr>
        <w:shd w:val="clear" w:color="auto" w:fill="FFFFFF"/>
        <w:spacing w:after="0" w:line="240" w:lineRule="auto"/>
        <w:rPr>
          <w:rFonts w:eastAsia="Times New Roman" w:cstheme="minorHAnsi"/>
          <w:i/>
          <w:iCs/>
          <w:color w:val="000000"/>
        </w:rPr>
      </w:pPr>
    </w:p>
    <w:p w:rsidR="0018737B" w:rsidRPr="002B726C" w:rsidRDefault="0018737B" w:rsidP="0018737B">
      <w:pPr>
        <w:shd w:val="clear" w:color="auto" w:fill="FFFFFF"/>
        <w:spacing w:after="0" w:line="240" w:lineRule="auto"/>
        <w:rPr>
          <w:rFonts w:eastAsia="Times New Roman" w:cstheme="minorHAnsi"/>
          <w:b/>
          <w:color w:val="000000"/>
        </w:rPr>
      </w:pPr>
      <w:r w:rsidRPr="002B726C">
        <w:rPr>
          <w:rFonts w:eastAsia="Times New Roman" w:cstheme="minorHAnsi"/>
          <w:b/>
          <w:iCs/>
          <w:color w:val="000000"/>
        </w:rPr>
        <w:t>How soon will businesses receive funds?</w:t>
      </w:r>
    </w:p>
    <w:p w:rsidR="0018737B" w:rsidRPr="0018737B" w:rsidRDefault="0018737B" w:rsidP="0018737B">
      <w:pPr>
        <w:shd w:val="clear" w:color="auto" w:fill="FFFFFF"/>
        <w:spacing w:after="0" w:line="240" w:lineRule="auto"/>
        <w:rPr>
          <w:rFonts w:eastAsia="Times New Roman" w:cstheme="minorHAnsi"/>
          <w:color w:val="000000"/>
        </w:rPr>
      </w:pPr>
      <w:r w:rsidRPr="0018737B">
        <w:rPr>
          <w:rFonts w:eastAsia="Times New Roman" w:cstheme="minorHAnsi"/>
          <w:color w:val="000000"/>
        </w:rPr>
        <w:t>DCEO’s goal is to execute grants within 30 days of application receipt, after which funds will be accessible.</w:t>
      </w:r>
    </w:p>
    <w:p w:rsidR="0018737B" w:rsidRDefault="0018737B" w:rsidP="00DB16CF"/>
    <w:sectPr w:rsidR="00187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C5696"/>
    <w:multiLevelType w:val="multilevel"/>
    <w:tmpl w:val="F124A6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756C0C4E"/>
    <w:multiLevelType w:val="hybridMultilevel"/>
    <w:tmpl w:val="8F4E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CF"/>
    <w:rsid w:val="00110FB2"/>
    <w:rsid w:val="001156D0"/>
    <w:rsid w:val="0018737B"/>
    <w:rsid w:val="00244AC1"/>
    <w:rsid w:val="002B726C"/>
    <w:rsid w:val="002C4370"/>
    <w:rsid w:val="004E1ACE"/>
    <w:rsid w:val="008921CE"/>
    <w:rsid w:val="00BA01BD"/>
    <w:rsid w:val="00C148A5"/>
    <w:rsid w:val="00CC2EEA"/>
    <w:rsid w:val="00DB16CF"/>
    <w:rsid w:val="00F728D9"/>
    <w:rsid w:val="00F9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C9D7"/>
  <w15:chartTrackingRefBased/>
  <w15:docId w15:val="{0B30C039-C19D-4F4D-82ED-D2F3C27F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6C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6CF"/>
    <w:rPr>
      <w:color w:val="0000FF"/>
      <w:u w:val="single"/>
    </w:rPr>
  </w:style>
  <w:style w:type="paragraph" w:customStyle="1" w:styleId="has-background">
    <w:name w:val="has-background"/>
    <w:basedOn w:val="Normal"/>
    <w:rsid w:val="008921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21CE"/>
    <w:rPr>
      <w:b/>
      <w:bCs/>
    </w:rPr>
  </w:style>
  <w:style w:type="paragraph" w:styleId="NormalWeb">
    <w:name w:val="Normal (Web)"/>
    <w:basedOn w:val="Normal"/>
    <w:uiPriority w:val="99"/>
    <w:semiHidden/>
    <w:unhideWhenUsed/>
    <w:rsid w:val="008921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21CE"/>
    <w:rPr>
      <w:i/>
      <w:iCs/>
    </w:rPr>
  </w:style>
  <w:style w:type="paragraph" w:styleId="ListParagraph">
    <w:name w:val="List Paragraph"/>
    <w:basedOn w:val="Normal"/>
    <w:uiPriority w:val="34"/>
    <w:qFormat/>
    <w:rsid w:val="002B7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95704">
      <w:bodyDiv w:val="1"/>
      <w:marLeft w:val="0"/>
      <w:marRight w:val="0"/>
      <w:marTop w:val="0"/>
      <w:marBottom w:val="0"/>
      <w:divBdr>
        <w:top w:val="none" w:sz="0" w:space="0" w:color="auto"/>
        <w:left w:val="none" w:sz="0" w:space="0" w:color="auto"/>
        <w:bottom w:val="none" w:sz="0" w:space="0" w:color="auto"/>
        <w:right w:val="none" w:sz="0" w:space="0" w:color="auto"/>
      </w:divBdr>
    </w:div>
    <w:div w:id="488861714">
      <w:bodyDiv w:val="1"/>
      <w:marLeft w:val="0"/>
      <w:marRight w:val="0"/>
      <w:marTop w:val="0"/>
      <w:marBottom w:val="0"/>
      <w:divBdr>
        <w:top w:val="none" w:sz="0" w:space="0" w:color="auto"/>
        <w:left w:val="none" w:sz="0" w:space="0" w:color="auto"/>
        <w:bottom w:val="none" w:sz="0" w:space="0" w:color="auto"/>
        <w:right w:val="none" w:sz="0" w:space="0" w:color="auto"/>
      </w:divBdr>
    </w:div>
    <w:div w:id="1028332851">
      <w:bodyDiv w:val="1"/>
      <w:marLeft w:val="0"/>
      <w:marRight w:val="0"/>
      <w:marTop w:val="0"/>
      <w:marBottom w:val="0"/>
      <w:divBdr>
        <w:top w:val="none" w:sz="0" w:space="0" w:color="auto"/>
        <w:left w:val="none" w:sz="0" w:space="0" w:color="auto"/>
        <w:bottom w:val="none" w:sz="0" w:space="0" w:color="auto"/>
        <w:right w:val="none" w:sz="0" w:space="0" w:color="auto"/>
      </w:divBdr>
    </w:div>
    <w:div w:id="174275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Colleen</dc:creator>
  <cp:keywords/>
  <dc:description/>
  <cp:lastModifiedBy>King, Colleen</cp:lastModifiedBy>
  <cp:revision>2</cp:revision>
  <dcterms:created xsi:type="dcterms:W3CDTF">2020-03-27T14:34:00Z</dcterms:created>
  <dcterms:modified xsi:type="dcterms:W3CDTF">2020-03-27T14:34:00Z</dcterms:modified>
</cp:coreProperties>
</file>